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wordprocessingml.footer+xml" PartName="/word/footer1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D558C9" w:rsidR="00D558C9" w:rsidRDefault="00D558C9" w:rsidRPr="00AF5B82">
      <w:pPr>
        <w:jc w:val="right"/>
        <w:rPr>
          <w:rFonts w:ascii="微软雅黑" w:eastAsia="微软雅黑" w:hAnsi="微软雅黑"/>
          <w:b/>
          <w:imprint/>
          <w:color w:themeColor="accent5" w:themeShade="BF" w:val="31849B"/>
          <w:sz w:val="44"/>
          <w:szCs w:val="44"/>
        </w:rPr>
      </w:pPr>
      <w:r>
        <w:rPr>
          <w:rFonts w:ascii="微软雅黑" w:eastAsia="微软雅黑" w:hAnsi="微软雅黑" w:hint="eastAsia"/>
          <w:b/>
          <w:imprint/>
          <w:color w:themeColor="accent5" w:themeShade="BF" w:val="31849B"/>
          <w:sz w:val="44"/>
          <w:szCs w:val="44"/>
        </w:rPr>
        <w:t>第三</w:t>
      </w:r>
      <w:r w:rsidRPr="00AF5B82">
        <w:rPr>
          <w:rFonts w:ascii="微软雅黑" w:eastAsia="微软雅黑" w:hAnsi="微软雅黑" w:hint="eastAsia"/>
          <w:b/>
          <w:imprint/>
          <w:color w:themeColor="accent5" w:themeShade="BF" w:val="31849B"/>
          <w:sz w:val="44"/>
          <w:szCs w:val="44"/>
        </w:rPr>
        <w:t xml:space="preserve">章 </w:t>
      </w:r>
      <w:r>
        <w:rPr>
          <w:rFonts w:ascii="微软雅黑" w:eastAsia="微软雅黑" w:hAnsi="微软雅黑" w:hint="eastAsia"/>
          <w:b/>
          <w:imprint/>
          <w:color w:themeColor="accent5" w:themeShade="BF" w:val="31849B"/>
          <w:sz w:val="44"/>
          <w:szCs w:val="44"/>
        </w:rPr>
        <w:t>生命的结构</w:t>
      </w:r>
      <w:r w:rsidRPr="00AF5B82">
        <w:rPr>
          <w:rFonts w:ascii="微软雅黑" w:eastAsia="微软雅黑" w:hAnsi="微软雅黑" w:hint="eastAsia"/>
          <w:b/>
          <w:imprint/>
          <w:color w:themeColor="accent5" w:themeShade="BF" w:val="31849B"/>
          <w:sz w:val="44"/>
          <w:szCs w:val="44"/>
        </w:rPr>
        <w:t>基础</w:t>
      </w:r>
    </w:p>
    <w:p w:rsidP="00FF37FB" w:rsidR="00FF37FB" w:rsidRDefault="00FF37FB" w:rsidRPr="00FF37FB">
      <w:pPr>
        <w:pStyle w:val="a4"/>
        <w:numPr>
          <w:ilvl w:val="1"/>
          <w:numId w:val="2"/>
        </w:numPr>
        <w:ind w:firstLineChars="0"/>
        <w:rPr>
          <w:b/>
          <w:color w:themeColor="text2" w:themeTint="99" w:val="548DD4"/>
        </w:rPr>
      </w:pPr>
      <w:r w:rsidRPr="00FF37FB">
        <w:rPr>
          <w:rFonts w:hint="eastAsia"/>
          <w:b/>
          <w:color w:themeColor="text2" w:themeTint="99" w:val="548DD4"/>
        </w:rPr>
        <w:t>细胞膜</w:t>
      </w:r>
    </w:p>
    <w:p w:rsidP="00FF37FB" w:rsidR="00D558C9" w:rsidRDefault="00D558C9"/>
    <w:p w:rsidP="00D6585A" w:rsidR="00FF37FB" w:rsidRDefault="00FF37FB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 w:hint="eastAsia"/>
          <w:szCs w:val="21"/>
        </w:rPr>
        <w:t>【一】细胞膜</w:t>
      </w:r>
      <w:r w:rsidR="00D6585A" w:rsidRPr="00D6585A">
        <w:rPr>
          <w:rFonts w:ascii="宋体" w:eastAsia="宋体" w:hAnsi="宋体" w:hint="eastAsia"/>
          <w:szCs w:val="21"/>
        </w:rPr>
        <w:t>的结构</w:t>
      </w:r>
    </w:p>
    <w:p w:rsidP="00D6585A" w:rsidR="00D6585A" w:rsidRDefault="00D6585A" w:rsidRPr="00D6585A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◎细胞膜的基本支架是磷脂双分子层，这个支架不是静止的。</w:t>
      </w:r>
    </w:p>
    <w:p w:rsidP="00D6585A" w:rsidR="00D6585A" w:rsidRDefault="00D6585A" w:rsidRPr="00D6585A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◎蛋白质分子有的镶在磷脂双分子层表面，有的部分或全部嵌入磷脂双分子层中，有的横跨整个磷脂双分子层。大多数蛋白质分子也是可以运动的。</w:t>
      </w:r>
    </w:p>
    <w:p w:rsidP="00D6585A" w:rsidR="00D6585A" w:rsidRDefault="00D6585A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◎细胞膜外侧有少量多糖，可与蛋白质或磷脂结合（多糖+蛋白质=糖蛋白；多糖+磷脂=糖脂）</w:t>
      </w:r>
    </w:p>
    <w:p w:rsidP="00D6585A" w:rsidR="00FF37FB" w:rsidRDefault="00D6585A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◎结构特点：</w:t>
      </w:r>
      <w:r w:rsidRPr="00B07A20">
        <w:rPr>
          <w:rFonts w:ascii="宋体" w:cs="宋体" w:eastAsia="宋体" w:hAnsi="宋体" w:hint="eastAsia"/>
          <w:b/>
          <w:szCs w:val="21"/>
        </w:rPr>
        <w:t>流动性</w:t>
      </w:r>
      <w:r w:rsidR="00B07A20">
        <w:rPr>
          <w:rFonts w:ascii="宋体" w:cs="宋体" w:eastAsia="宋体" w:hAnsi="宋体" w:hint="eastAsia"/>
          <w:b/>
          <w:szCs w:val="21"/>
        </w:rPr>
        <w:t>：</w:t>
      </w:r>
      <w:r w:rsidR="00B07A20" w:rsidRPr="00D6585A">
        <w:rPr>
          <w:rFonts w:ascii="宋体" w:cs="宋体" w:eastAsia="宋体" w:hAnsi="宋体" w:hint="eastAsia"/>
          <w:szCs w:val="21"/>
        </w:rPr>
        <w:t>磷脂双分子层是轻油般的流体，具有流动性。</w:t>
      </w:r>
    </w:p>
    <w:p w:rsidP="00B07A20" w:rsidR="00B07A20" w:rsidRDefault="00B07A20" w:rsidRPr="00D6585A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功能特点：</w:t>
      </w:r>
      <w:r w:rsidRPr="00B07A20">
        <w:rPr>
          <w:rFonts w:ascii="宋体" w:cs="宋体" w:eastAsia="宋体" w:hAnsi="宋体" w:hint="eastAsia"/>
          <w:b/>
          <w:szCs w:val="21"/>
        </w:rPr>
        <w:t>选择透过性</w:t>
      </w:r>
      <w:r>
        <w:rPr>
          <w:rFonts w:ascii="宋体" w:cs="宋体" w:eastAsia="宋体" w:hAnsi="宋体" w:hint="eastAsia"/>
          <w:szCs w:val="21"/>
        </w:rPr>
        <w:t>：</w:t>
      </w:r>
      <w:r w:rsidR="00184DE0">
        <w:rPr>
          <w:rFonts w:ascii="宋体" w:cs="宋体" w:eastAsia="宋体" w:hAnsi="宋体" w:hint="eastAsia"/>
          <w:szCs w:val="21"/>
        </w:rPr>
        <w:t>可以让水分子自由通过，一些离子和亲脂性小分子也可以通过</w:t>
      </w:r>
      <w:r w:rsidR="008B6A87">
        <w:rPr>
          <w:rFonts w:ascii="宋体" w:cs="宋体" w:eastAsia="宋体" w:hAnsi="宋体" w:hint="eastAsia"/>
          <w:szCs w:val="21"/>
        </w:rPr>
        <w:t>（胞吞胞吐）</w:t>
      </w:r>
    </w:p>
    <w:p w:rsidP="00D6585A" w:rsidR="00FF37FB" w:rsidRDefault="00FF37FB" w:rsidRPr="00B07A20">
      <w:pPr>
        <w:rPr>
          <w:rFonts w:ascii="宋体" w:eastAsia="宋体" w:hAnsi="宋体"/>
          <w:szCs w:val="21"/>
        </w:rPr>
      </w:pPr>
    </w:p>
    <w:p w:rsidP="00D6585A" w:rsidR="00D6585A" w:rsidRDefault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 w:hint="eastAsia"/>
          <w:szCs w:val="21"/>
        </w:rPr>
        <w:t>【二】物质通过细胞膜的方式</w:t>
      </w:r>
    </w:p>
    <w:p w:rsidP="00D6585A" w:rsidR="00B07A20" w:rsidRDefault="00B07A20" w:rsidRPr="00D6585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1、小分子</w:t>
      </w:r>
    </w:p>
    <w:p w:rsidP="00D6585A" w:rsidR="00D6585A" w:rsidRDefault="00FF37FB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noProof/>
          <w:kern w:val="0"/>
          <w:szCs w:val="21"/>
        </w:rPr>
        <w:drawing>
          <wp:inline distB="0" distL="0" distR="0" distT="0">
            <wp:extent cx="3267075" cy="2055095"/>
            <wp:effectExtent b="0" l="19050" r="0" t="0"/>
            <wp:docPr id="3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rrowheads="1"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155" cy="205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type="auto" w:w="0"/>
        <w:jc w:val="center"/>
        <w:tblBorders>
          <w:top w:color="76923C" w:space="0" w:sz="12" w:themeColor="accent3" w:themeShade="BF" w:val="single"/>
          <w:left w:color="76923C" w:space="0" w:sz="12" w:themeColor="accent3" w:themeShade="BF" w:val="single"/>
          <w:bottom w:color="76923C" w:space="0" w:sz="12" w:themeColor="accent3" w:themeShade="BF" w:val="single"/>
          <w:right w:color="76923C" w:space="0" w:sz="12" w:themeColor="accent3" w:themeShade="BF" w:val="single"/>
          <w:insideH w:color="76923C" w:space="0" w:sz="8" w:themeColor="accent3" w:themeShade="BF" w:val="single"/>
          <w:insideV w:color="76923C" w:space="0" w:sz="8" w:themeColor="accent3" w:themeShade="BF" w:val="single"/>
        </w:tblBorders>
        <w:tblLook w:val="04A0"/>
      </w:tblPr>
      <w:tblGrid>
        <w:gridCol w:w="558"/>
        <w:gridCol w:w="704"/>
        <w:gridCol w:w="899"/>
        <w:gridCol w:w="704"/>
        <w:gridCol w:w="835"/>
        <w:gridCol w:w="2334"/>
        <w:gridCol w:w="4386"/>
      </w:tblGrid>
      <w:tr w:rsidR="00D6585A" w:rsidRPr="00E971A7" w:rsidTr="00E971A7">
        <w:trPr>
          <w:jc w:val="center"/>
        </w:trPr>
        <w:tc>
          <w:tcPr>
            <w:tcW w:type="dxa" w:w="1443"/>
            <w:gridSpan w:val="2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  <w:vAlign w:val="center"/>
          </w:tcPr>
          <w:p w:rsidP="00E971A7" w:rsidR="00D6585A" w:rsidRDefault="00D6585A" w:rsidRPr="00E971A7">
            <w:pPr>
              <w:jc w:val="center"/>
              <w:rPr>
                <w:rFonts w:ascii="宋体" w:cs="宋体" w:eastAsia="宋体" w:hAnsi="宋体"/>
                <w:b/>
                <w:color w:themeColor="accent3" w:themeShade="BF" w:val="76923C"/>
                <w:szCs w:val="21"/>
              </w:rPr>
            </w:pPr>
            <w:r w:rsidRPr="00E971A7">
              <w:rPr>
                <w:rFonts w:ascii="宋体" w:cs="宋体" w:eastAsia="宋体" w:hAnsi="宋体" w:hint="eastAsia"/>
                <w:b/>
                <w:color w:themeColor="accent3" w:themeShade="BF" w:val="76923C"/>
                <w:szCs w:val="21"/>
              </w:rPr>
              <w:t>方式</w:t>
            </w:r>
          </w:p>
        </w:tc>
        <w:tc>
          <w:tcPr>
            <w:tcW w:type="dxa" w:w="1015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  <w:vAlign w:val="center"/>
          </w:tcPr>
          <w:p w:rsidP="00E971A7" w:rsidR="00D6585A" w:rsidRDefault="00D6585A" w:rsidRPr="00E971A7">
            <w:pPr>
              <w:jc w:val="center"/>
              <w:rPr>
                <w:rFonts w:ascii="宋体" w:cs="宋体" w:eastAsia="宋体" w:hAnsi="宋体"/>
                <w:b/>
                <w:color w:themeColor="accent3" w:themeShade="BF" w:val="76923C"/>
                <w:szCs w:val="21"/>
              </w:rPr>
            </w:pPr>
            <w:r w:rsidRPr="00E971A7">
              <w:rPr>
                <w:rFonts w:ascii="宋体" w:cs="宋体" w:eastAsia="宋体" w:hAnsi="宋体" w:hint="eastAsia"/>
                <w:b/>
                <w:color w:themeColor="accent3" w:themeShade="BF" w:val="76923C"/>
                <w:szCs w:val="21"/>
              </w:rPr>
              <w:t>方向（浓度）</w:t>
            </w:r>
          </w:p>
        </w:tc>
        <w:tc>
          <w:tcPr>
            <w:tcW w:type="dxa" w:w="827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  <w:vAlign w:val="center"/>
          </w:tcPr>
          <w:p w:rsidP="00E971A7" w:rsidR="00D6585A" w:rsidRDefault="00D6585A" w:rsidRPr="00E971A7">
            <w:pPr>
              <w:jc w:val="center"/>
              <w:rPr>
                <w:rFonts w:ascii="宋体" w:cs="宋体" w:eastAsia="宋体" w:hAnsi="宋体"/>
                <w:b/>
                <w:color w:themeColor="accent3" w:themeShade="BF" w:val="76923C"/>
                <w:szCs w:val="21"/>
              </w:rPr>
            </w:pPr>
            <w:r w:rsidRPr="00E971A7">
              <w:rPr>
                <w:rFonts w:ascii="宋体" w:cs="宋体" w:eastAsia="宋体" w:hAnsi="宋体" w:hint="eastAsia"/>
                <w:b/>
                <w:color w:themeColor="accent3" w:themeShade="BF" w:val="76923C"/>
                <w:szCs w:val="21"/>
              </w:rPr>
              <w:t>载体</w:t>
            </w:r>
            <w:r w:rsidR="00B07A20" w:rsidRPr="00E971A7">
              <w:rPr>
                <w:rFonts w:ascii="宋体" w:cs="宋体" w:eastAsia="宋体" w:hAnsi="宋体" w:hint="eastAsia"/>
                <w:b/>
                <w:color w:themeColor="accent3" w:themeShade="BF" w:val="76923C"/>
                <w:szCs w:val="21"/>
              </w:rPr>
              <w:t>蛋白协助</w:t>
            </w:r>
          </w:p>
        </w:tc>
        <w:tc>
          <w:tcPr>
            <w:tcW w:type="dxa" w:w="1015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  <w:vAlign w:val="center"/>
          </w:tcPr>
          <w:p w:rsidP="00E971A7" w:rsidR="00D6585A" w:rsidRDefault="00D6585A" w:rsidRPr="00E971A7">
            <w:pPr>
              <w:jc w:val="center"/>
              <w:rPr>
                <w:rFonts w:ascii="宋体" w:cs="宋体" w:eastAsia="宋体" w:hAnsi="宋体"/>
                <w:b/>
                <w:color w:themeColor="accent3" w:themeShade="BF" w:val="76923C"/>
                <w:szCs w:val="21"/>
              </w:rPr>
            </w:pPr>
            <w:r w:rsidRPr="00E971A7">
              <w:rPr>
                <w:rFonts w:ascii="宋体" w:cs="宋体" w:eastAsia="宋体" w:hAnsi="宋体" w:hint="eastAsia"/>
                <w:b/>
                <w:color w:themeColor="accent3" w:themeShade="BF" w:val="76923C"/>
                <w:szCs w:val="21"/>
              </w:rPr>
              <w:t>能量</w:t>
            </w:r>
          </w:p>
        </w:tc>
        <w:tc>
          <w:tcPr>
            <w:tcW w:type="dxa" w:w="3060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  <w:vAlign w:val="center"/>
          </w:tcPr>
          <w:p w:rsidP="00E971A7" w:rsidR="00D6585A" w:rsidRDefault="00D6585A" w:rsidRPr="00E971A7">
            <w:pPr>
              <w:jc w:val="center"/>
              <w:rPr>
                <w:rFonts w:ascii="宋体" w:cs="宋体" w:eastAsia="宋体" w:hAnsi="宋体"/>
                <w:b/>
                <w:color w:themeColor="accent3" w:themeShade="BF" w:val="76923C"/>
                <w:szCs w:val="21"/>
              </w:rPr>
            </w:pPr>
            <w:r w:rsidRPr="00E971A7">
              <w:rPr>
                <w:rFonts w:ascii="宋体" w:cs="宋体" w:eastAsia="宋体" w:hAnsi="宋体" w:hint="eastAsia"/>
                <w:b/>
                <w:color w:themeColor="accent3" w:themeShade="BF" w:val="76923C"/>
                <w:szCs w:val="21"/>
              </w:rPr>
              <w:t>举例</w:t>
            </w:r>
          </w:p>
        </w:tc>
        <w:tc>
          <w:tcPr>
            <w:tcW w:type="dxa" w:w="3060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  <w:vAlign w:val="center"/>
          </w:tcPr>
          <w:p w:rsidP="00E971A7" w:rsidR="00D6585A" w:rsidRDefault="00B07A20" w:rsidRPr="00E971A7">
            <w:pPr>
              <w:jc w:val="center"/>
              <w:rPr>
                <w:rFonts w:ascii="宋体" w:cs="宋体" w:eastAsia="宋体" w:hAnsi="宋体"/>
                <w:b/>
                <w:color w:themeColor="accent3" w:themeShade="BF" w:val="76923C"/>
                <w:szCs w:val="21"/>
              </w:rPr>
            </w:pPr>
            <w:r w:rsidRPr="00E971A7">
              <w:rPr>
                <w:rFonts w:ascii="宋体" w:cs="宋体" w:eastAsia="宋体" w:hAnsi="宋体" w:hint="eastAsia"/>
                <w:b/>
                <w:color w:themeColor="accent3" w:themeShade="BF" w:val="76923C"/>
                <w:szCs w:val="21"/>
              </w:rPr>
              <w:t>图例</w:t>
            </w:r>
          </w:p>
        </w:tc>
      </w:tr>
      <w:tr w:rsidR="00B07A20" w:rsidTr="00E971A7">
        <w:trPr>
          <w:jc w:val="center"/>
        </w:trPr>
        <w:tc>
          <w:tcPr>
            <w:tcW w:type="dxa" w:w="616"/>
            <w:vMerge w:val="restart"/>
            <w:tcBorders>
              <w:top w:color="76923C" w:space="0" w:sz="8" w:themeColor="accent3" w:themeShade="BF" w:val="single"/>
            </w:tcBorders>
            <w:vAlign w:val="center"/>
          </w:tcPr>
          <w:p w:rsidP="00D6585A" w:rsidR="00B07A20" w:rsidRDefault="00B07A20">
            <w:pPr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被动运输</w:t>
            </w:r>
          </w:p>
        </w:tc>
        <w:tc>
          <w:tcPr>
            <w:tcW w:type="dxa" w:w="827"/>
            <w:tcBorders>
              <w:top w:color="76923C" w:space="0" w:sz="8" w:themeColor="accent3" w:themeShade="BF" w:val="single"/>
            </w:tcBorders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自由扩散</w:t>
            </w:r>
          </w:p>
        </w:tc>
        <w:tc>
          <w:tcPr>
            <w:tcW w:type="dxa" w:w="1015"/>
            <w:vMerge w:val="restart"/>
            <w:tcBorders>
              <w:top w:color="76923C" w:space="0" w:sz="8" w:themeColor="accent3" w:themeShade="BF" w:val="single"/>
            </w:tcBorders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高→低</w:t>
            </w:r>
          </w:p>
        </w:tc>
        <w:tc>
          <w:tcPr>
            <w:tcW w:type="dxa" w:w="827"/>
            <w:tcBorders>
              <w:top w:color="76923C" w:space="0" w:sz="8" w:themeColor="accent3" w:themeShade="BF" w:val="single"/>
            </w:tcBorders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不需要</w:t>
            </w:r>
          </w:p>
        </w:tc>
        <w:tc>
          <w:tcPr>
            <w:tcW w:type="dxa" w:w="1015"/>
            <w:vMerge w:val="restart"/>
            <w:tcBorders>
              <w:top w:color="76923C" w:space="0" w:sz="8" w:themeColor="accent3" w:themeShade="BF" w:val="single"/>
            </w:tcBorders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不消耗</w:t>
            </w:r>
          </w:p>
        </w:tc>
        <w:tc>
          <w:tcPr>
            <w:tcW w:type="dxa" w:w="3060"/>
            <w:tcBorders>
              <w:top w:color="76923C" w:space="0" w:sz="8" w:themeColor="accent3" w:themeShade="BF" w:val="single"/>
            </w:tcBorders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  <w:vertAlign w:val="subscript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气体：CO</w:t>
            </w:r>
            <w:r w:rsidRPr="00D6585A">
              <w:rPr>
                <w:rFonts w:ascii="宋体" w:cs="宋体" w:eastAsia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cs="宋体" w:eastAsia="宋体" w:hAnsi="宋体" w:hint="eastAsia"/>
                <w:szCs w:val="21"/>
              </w:rPr>
              <w:t>、O</w:t>
            </w:r>
            <w:r w:rsidRPr="00D6585A">
              <w:rPr>
                <w:rFonts w:ascii="宋体" w:cs="宋体" w:eastAsia="宋体" w:hAnsi="宋体" w:hint="eastAsia"/>
                <w:szCs w:val="21"/>
                <w:vertAlign w:val="subscript"/>
              </w:rPr>
              <w:t>2</w:t>
            </w:r>
          </w:p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脂溶性物质：甘油、脂肪酸、乙醇</w:t>
            </w:r>
          </w:p>
        </w:tc>
        <w:tc>
          <w:tcPr>
            <w:tcW w:type="dxa" w:w="3060"/>
            <w:vMerge w:val="restart"/>
            <w:tcBorders>
              <w:top w:color="76923C" w:space="0" w:sz="8" w:themeColor="accent3" w:themeShade="BF" w:val="single"/>
            </w:tcBorders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 w:rsidRPr="00B07A20">
              <w:rPr>
                <w:rFonts w:ascii="宋体" w:cs="宋体" w:eastAsia="宋体" w:hAnsi="宋体" w:hint="eastAsia"/>
                <w:noProof/>
                <w:szCs w:val="21"/>
              </w:rPr>
              <w:drawing>
                <wp:inline distB="0" distL="0" distR="0" distT="0">
                  <wp:extent cx="2620328" cy="1666875"/>
                  <wp:effectExtent b="0" l="19050" r="8572" t="0"/>
                  <wp:docPr id="7" name="图片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328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A20" w:rsidTr="00E971A7">
        <w:trPr>
          <w:jc w:val="center"/>
        </w:trPr>
        <w:tc>
          <w:tcPr>
            <w:tcW w:type="dxa" w:w="616"/>
            <w:vMerge/>
            <w:vAlign w:val="center"/>
          </w:tcPr>
          <w:p w:rsidP="00D6585A" w:rsidR="00B07A20" w:rsidRDefault="00B07A20">
            <w:pPr>
              <w:rPr>
                <w:rFonts w:ascii="宋体" w:cs="宋体" w:eastAsia="宋体" w:hAnsi="宋体"/>
                <w:szCs w:val="21"/>
              </w:rPr>
            </w:pPr>
          </w:p>
        </w:tc>
        <w:tc>
          <w:tcPr>
            <w:tcW w:type="dxa" w:w="827"/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协助扩散</w:t>
            </w:r>
          </w:p>
        </w:tc>
        <w:tc>
          <w:tcPr>
            <w:tcW w:type="dxa" w:w="1015"/>
            <w:vMerge/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</w:p>
        </w:tc>
        <w:tc>
          <w:tcPr>
            <w:tcW w:type="dxa" w:w="827"/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需要</w:t>
            </w:r>
          </w:p>
        </w:tc>
        <w:tc>
          <w:tcPr>
            <w:tcW w:type="dxa" w:w="1015"/>
            <w:vMerge/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</w:p>
        </w:tc>
        <w:tc>
          <w:tcPr>
            <w:tcW w:type="dxa" w:w="3060"/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水溶性物质：无机离子、有机小分子（葡萄糖进入红细胞）</w:t>
            </w:r>
          </w:p>
        </w:tc>
        <w:tc>
          <w:tcPr>
            <w:tcW w:type="dxa" w:w="3060"/>
            <w:vMerge/>
            <w:vAlign w:val="center"/>
          </w:tcPr>
          <w:p w:rsidP="00E971A7" w:rsidR="00B07A20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</w:p>
        </w:tc>
      </w:tr>
      <w:tr w:rsidR="00D6585A" w:rsidTr="00E971A7">
        <w:trPr>
          <w:jc w:val="center"/>
        </w:trPr>
        <w:tc>
          <w:tcPr>
            <w:tcW w:type="dxa" w:w="1443"/>
            <w:gridSpan w:val="2"/>
            <w:vAlign w:val="center"/>
          </w:tcPr>
          <w:p w:rsidP="00E971A7" w:rsidR="00B07A20" w:rsidRDefault="00D6585A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主动运输</w:t>
            </w:r>
            <w:r w:rsidR="00B07A20">
              <w:rPr>
                <w:rFonts w:ascii="宋体" w:cs="宋体" w:eastAsia="宋体" w:hAnsi="宋体" w:hint="eastAsia"/>
                <w:szCs w:val="21"/>
              </w:rPr>
              <w:t>（主要方式）</w:t>
            </w:r>
          </w:p>
        </w:tc>
        <w:tc>
          <w:tcPr>
            <w:tcW w:type="dxa" w:w="1015"/>
            <w:vAlign w:val="center"/>
          </w:tcPr>
          <w:p w:rsidP="00E971A7" w:rsidR="00D6585A" w:rsidRDefault="00D6585A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低→高</w:t>
            </w:r>
          </w:p>
        </w:tc>
        <w:tc>
          <w:tcPr>
            <w:tcW w:type="dxa" w:w="827"/>
            <w:vAlign w:val="center"/>
          </w:tcPr>
          <w:p w:rsidP="00E971A7" w:rsidR="00D6585A" w:rsidRDefault="00D6585A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需要</w:t>
            </w:r>
          </w:p>
        </w:tc>
        <w:tc>
          <w:tcPr>
            <w:tcW w:type="dxa" w:w="1015"/>
            <w:vAlign w:val="center"/>
          </w:tcPr>
          <w:p w:rsidP="00E971A7" w:rsidR="00D6585A" w:rsidRDefault="00D6585A">
            <w:pPr>
              <w:jc w:val="center"/>
              <w:rPr>
                <w:rFonts w:ascii="宋体" w:cs="宋体" w:eastAsia="宋体" w:hAnsi="宋体"/>
                <w:szCs w:val="21"/>
              </w:rPr>
            </w:pPr>
            <w:r>
              <w:rPr>
                <w:rFonts w:ascii="宋体" w:cs="宋体" w:eastAsia="宋体" w:hAnsi="宋体" w:hint="eastAsia"/>
                <w:szCs w:val="21"/>
              </w:rPr>
              <w:t>消耗</w:t>
            </w:r>
          </w:p>
        </w:tc>
        <w:tc>
          <w:tcPr>
            <w:tcW w:type="dxa" w:w="3060"/>
            <w:vAlign w:val="center"/>
          </w:tcPr>
          <w:p w:rsidP="00E971A7" w:rsidR="00D6585A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 w:rsidRPr="00D6585A">
              <w:rPr>
                <w:rFonts w:ascii="宋体" w:cs="宋体" w:eastAsia="宋体" w:hAnsi="宋体" w:hint="eastAsia"/>
                <w:szCs w:val="21"/>
              </w:rPr>
              <w:t>小肠绒毛上皮细胞对葡萄糖、氨基酸、钾离子、钠离子等营养物质的吸收</w:t>
            </w:r>
          </w:p>
        </w:tc>
        <w:tc>
          <w:tcPr>
            <w:tcW w:type="dxa" w:w="3060"/>
            <w:vAlign w:val="center"/>
          </w:tcPr>
          <w:p w:rsidP="00E971A7" w:rsidR="00D6585A" w:rsidRDefault="00B07A20">
            <w:pPr>
              <w:jc w:val="center"/>
              <w:rPr>
                <w:rFonts w:ascii="宋体" w:cs="宋体" w:eastAsia="宋体" w:hAnsi="宋体"/>
                <w:szCs w:val="21"/>
              </w:rPr>
            </w:pPr>
            <w:r w:rsidRPr="00B07A20">
              <w:rPr>
                <w:rFonts w:ascii="宋体" w:cs="宋体" w:eastAsia="宋体" w:hAnsi="宋体" w:hint="eastAsia"/>
                <w:noProof/>
                <w:szCs w:val="21"/>
              </w:rPr>
              <w:drawing>
                <wp:inline distB="0" distL="0" distR="0" distT="0">
                  <wp:extent cx="2620645" cy="1584866"/>
                  <wp:effectExtent b="0" l="19050" r="8255" t="0"/>
                  <wp:docPr id="8" name="图片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645" cy="1584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D6585A" w:rsidR="00D6585A" w:rsidRDefault="00D6585A" w:rsidRPr="00D6585A">
      <w:pPr>
        <w:rPr>
          <w:rFonts w:ascii="宋体" w:cs="宋体" w:eastAsia="宋体" w:hAnsi="宋体"/>
          <w:szCs w:val="21"/>
        </w:rPr>
      </w:pPr>
    </w:p>
    <w:p w:rsidP="00D6585A" w:rsidR="00FF37FB" w:rsidRDefault="00FF37FB" w:rsidRPr="00D6585A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◎在细胞膜的外表，有一层由细胞上的蛋白质与糖类结合形成的糖蛋白，称为</w:t>
      </w:r>
      <w:r w:rsidRPr="00D6585A">
        <w:rPr>
          <w:rFonts w:ascii="宋体" w:cs="宋体" w:eastAsia="宋体" w:hAnsi="宋体" w:hint="eastAsia"/>
          <w:b/>
          <w:bCs/>
          <w:szCs w:val="21"/>
        </w:rPr>
        <w:t>糖被</w:t>
      </w:r>
      <w:r w:rsidRPr="00D6585A">
        <w:rPr>
          <w:rFonts w:ascii="宋体" w:cs="宋体" w:eastAsia="宋体" w:hAnsi="宋体" w:hint="eastAsia"/>
          <w:szCs w:val="21"/>
        </w:rPr>
        <w:t>。</w:t>
      </w:r>
    </w:p>
    <w:p w:rsidP="00D6585A" w:rsidR="00FF37FB" w:rsidRDefault="00FF37FB" w:rsidRPr="00D6585A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◎消化道和呼吸道上皮细胞表面的糖蛋白有保护和润滑的作用，糖被还与细胞表面的识别有密切关系。</w:t>
      </w:r>
    </w:p>
    <w:p w:rsidP="00D6585A" w:rsidR="00B07A20" w:rsidRDefault="00B07A20">
      <w:pPr>
        <w:rPr>
          <w:rFonts w:ascii="宋体" w:cs="宋体" w:eastAsia="宋体" w:hAnsi="宋体"/>
          <w:szCs w:val="21"/>
        </w:rPr>
      </w:pPr>
    </w:p>
    <w:p w:rsidP="00D6585A" w:rsidR="00FF37FB" w:rsidRDefault="008B6A87">
      <w:pPr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2、大分子</w:t>
      </w:r>
    </w:p>
    <w:p w:rsidP="00D6585A" w:rsidR="008B6A87" w:rsidRDefault="008B6A8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胞吞：细胞摄取颗粒性物质的过程</w:t>
      </w:r>
    </w:p>
    <w:p w:rsidP="00D6585A" w:rsidR="008B6A87" w:rsidRDefault="008B6A8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胞吐：与胞吞相反</w:t>
      </w:r>
    </w:p>
    <w:p w:rsidP="00E971A7" w:rsidR="00E971A7" w:rsidRDefault="00E971A7">
      <w:pPr>
        <w:rPr>
          <w:rFonts w:ascii="宋体" w:cs="宋体" w:eastAsia="宋体" w:hAnsi="宋体"/>
          <w:b/>
          <w:bCs/>
          <w:szCs w:val="21"/>
        </w:rPr>
      </w:pPr>
    </w:p>
    <w:p w:rsidP="00E971A7" w:rsidR="00E971A7" w:rsidRDefault="00E971A7" w:rsidRPr="00D6585A">
      <w:pPr>
        <w:rPr>
          <w:rFonts w:ascii="宋体" w:cs="宋体" w:eastAsia="宋体" w:hAnsi="宋体"/>
          <w:b/>
          <w:bCs/>
          <w:szCs w:val="21"/>
        </w:rPr>
      </w:pPr>
      <w:r>
        <w:rPr>
          <w:rFonts w:ascii="宋体" w:cs="宋体" w:eastAsia="宋体" w:hAnsi="宋体" w:hint="eastAsia"/>
          <w:b/>
          <w:bCs/>
          <w:szCs w:val="21"/>
        </w:rPr>
        <w:t>【三】</w:t>
      </w:r>
      <w:r w:rsidRPr="00E971A7">
        <w:rPr>
          <w:rFonts w:ascii="宋体" w:cs="宋体" w:eastAsia="宋体" w:hAnsi="宋体" w:hint="eastAsia"/>
          <w:bCs/>
          <w:szCs w:val="21"/>
        </w:rPr>
        <w:t>质壁分离</w:t>
      </w:r>
    </w:p>
    <w:p w:rsidP="00D6585A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当细胞液的浓度小于外界溶液的浓度时，细胞液中的水分就透过原生质层进入外界溶液中，使细胞壁和原生质层都出现一定程度的收缩。由于原生质层比细胞壁的伸缩性大，当细胞不断失水时，原生质层就会与细胞壁逐渐分离开来，也就是发生了质壁分离。</w:t>
      </w:r>
    </w:p>
    <w:p w:rsidP="00D6585A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noProof/>
          <w:kern w:val="0"/>
          <w:szCs w:val="21"/>
        </w:rPr>
        <w:drawing>
          <wp:inline distB="0" distL="0" distR="0" distT="0">
            <wp:extent cx="1917700" cy="2160836"/>
            <wp:effectExtent b="0" l="19050" r="6350" t="0"/>
            <wp:docPr id="10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rrowheads="1" noChangeAspect="1"/>
                    </pic:cNvPicPr>
                  </pic:nvPicPr>
                  <pic:blipFill>
                    <a:blip r:embed="rId10"/>
                    <a:srcRect b="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2160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E971A7" w:rsidR="00E971A7" w:rsidRDefault="00E971A7" w:rsidRPr="00E971A7">
      <w:pPr>
        <w:pStyle w:val="a4"/>
        <w:numPr>
          <w:ilvl w:val="1"/>
          <w:numId w:val="2"/>
        </w:numPr>
        <w:ind w:firstLineChars="0"/>
        <w:rPr>
          <w:b/>
          <w:color w:themeColor="text2" w:themeTint="99" w:val="548DD4"/>
        </w:rPr>
      </w:pPr>
      <w:r>
        <w:rPr>
          <w:rFonts w:hint="eastAsia"/>
          <w:b/>
          <w:color w:themeColor="text2" w:themeTint="99" w:val="548DD4"/>
        </w:rPr>
        <w:t>细胞核和细胞器</w:t>
      </w:r>
    </w:p>
    <w:p w:rsidP="00D6585A" w:rsidR="008B6A87" w:rsidRDefault="008B6A87">
      <w:pPr>
        <w:rPr>
          <w:rFonts w:ascii="宋体" w:cs="宋体" w:eastAsia="宋体" w:hAnsi="宋体"/>
          <w:szCs w:val="21"/>
        </w:rPr>
      </w:pPr>
    </w:p>
    <w:p w:rsidP="00D6585A" w:rsidR="00E971A7" w:rsidRDefault="008B6A87">
      <w:pPr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【</w:t>
      </w:r>
      <w:r w:rsidR="00E971A7">
        <w:rPr>
          <w:rFonts w:ascii="宋体" w:cs="宋体" w:eastAsia="宋体" w:hAnsi="宋体" w:hint="eastAsia"/>
          <w:szCs w:val="21"/>
        </w:rPr>
        <w:t>一</w:t>
      </w:r>
      <w:r>
        <w:rPr>
          <w:rFonts w:ascii="宋体" w:cs="宋体" w:eastAsia="宋体" w:hAnsi="宋体" w:hint="eastAsia"/>
          <w:szCs w:val="21"/>
        </w:rPr>
        <w:t>】</w:t>
      </w:r>
      <w:r w:rsidR="00E971A7">
        <w:rPr>
          <w:rFonts w:ascii="宋体" w:cs="宋体" w:eastAsia="宋体" w:hAnsi="宋体" w:hint="eastAsia"/>
          <w:szCs w:val="21"/>
        </w:rPr>
        <w:t>细胞核</w:t>
      </w:r>
    </w:p>
    <w:p w:rsidP="00E971A7" w:rsidR="00FF1ABF" w:rsidRDefault="00FF1ABF">
      <w:pPr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1、细胞核</w:t>
      </w:r>
    </w:p>
    <w:p w:rsidP="00E971A7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细胞核是显微结构：能用光学显微镜观察到</w:t>
      </w:r>
    </w:p>
    <w:p w:rsidP="00E971A7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核膜：双层膜，上有核孔（四层磷脂分子）</w:t>
      </w:r>
    </w:p>
    <w:p w:rsidP="00E971A7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核仁：与核糖体的形成有关（核心的核心）</w:t>
      </w:r>
    </w:p>
    <w:p w:rsidP="00E971A7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核基质：细胞核内代谢场所</w:t>
      </w:r>
    </w:p>
    <w:p w:rsidP="00E971A7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核色质：由DNA和蛋白质组成；细丝状物质；可被碱性染料染上色</w:t>
      </w:r>
    </w:p>
    <w:p w:rsidP="00E971A7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核膜、核仁、核基质、核色质都是亚显微结构：能用电子显微镜看到</w:t>
      </w:r>
    </w:p>
    <w:p w:rsidP="00E971A7" w:rsidR="00E971A7" w:rsidRDefault="00E971A7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</w:t>
      </w:r>
      <w:r>
        <w:rPr>
          <w:rFonts w:ascii="宋体" w:cs="宋体" w:eastAsia="宋体" w:hAnsi="宋体" w:hint="eastAsia"/>
          <w:szCs w:val="21"/>
        </w:rPr>
        <w:t>功能：储存遗传物质，细胞生长发育分裂增殖的调控中心</w:t>
      </w:r>
    </w:p>
    <w:p w:rsidP="00E971A7" w:rsidR="00AF293A" w:rsidRDefault="00AF293A">
      <w:pPr>
        <w:rPr>
          <w:rFonts w:ascii="宋体" w:cs="宋体" w:eastAsia="宋体" w:hAnsi="宋体"/>
          <w:szCs w:val="21"/>
        </w:rPr>
      </w:pPr>
      <w:r w:rsidRPr="00AF293A">
        <w:rPr>
          <w:rFonts w:ascii="宋体" w:cs="宋体" w:eastAsia="宋体" w:hAnsi="宋体" w:hint="eastAsia"/>
          <w:noProof/>
          <w:szCs w:val="21"/>
        </w:rPr>
        <w:drawing>
          <wp:inline distB="0" distL="0" distR="0" distT="0">
            <wp:extent cx="2962275" cy="2218093"/>
            <wp:effectExtent b="0" l="19050" r="9525" t="0"/>
            <wp:docPr id="2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rrowheads="1"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218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E971A7" w:rsidR="00FF1ABF" w:rsidRDefault="00FF1ABF">
      <w:pPr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2、真核细胞和原核细胞</w:t>
      </w:r>
    </w:p>
    <w:p w:rsidP="00FF1ABF" w:rsidR="00FF1ABF" w:rsidRDefault="00FF1ABF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 w:hint="eastAsia"/>
          <w:szCs w:val="21"/>
        </w:rPr>
        <w:lastRenderedPageBreak/>
        <w:t>◎真核生物：植物、动物、真菌等。原核生物：细菌、蓝藻、放线菌等。</w:t>
      </w:r>
    </w:p>
    <w:p w:rsidP="00E971A7" w:rsidR="00FF1ABF" w:rsidRDefault="00FF1ABF">
      <w:pPr>
        <w:rPr>
          <w:rFonts w:ascii="宋体" w:cs="宋体" w:eastAsia="宋体" w:hAnsi="宋体"/>
          <w:szCs w:val="21"/>
        </w:rPr>
      </w:pPr>
      <w:r w:rsidRPr="00FF37FB">
        <w:rPr>
          <w:rFonts w:hint="eastAsia"/>
          <w:noProof/>
          <w:kern w:val="0"/>
        </w:rPr>
        <w:drawing>
          <wp:inline distB="0" distL="0" distR="0" distT="0">
            <wp:extent cx="3959225" cy="2256324"/>
            <wp:effectExtent b="0" l="19050" r="3175" t="0"/>
            <wp:docPr id="11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rrowheads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2256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E971A7" w:rsidR="00184DE0" w:rsidRDefault="00FF1ABF">
      <w:pPr>
        <w:rPr>
          <w:rFonts w:ascii="宋体" w:cs="宋体" w:eastAsia="宋体" w:hAnsi="宋体"/>
          <w:szCs w:val="21"/>
        </w:rPr>
      </w:pPr>
      <w:r w:rsidRPr="00D6585A">
        <w:rPr>
          <w:rFonts w:ascii="宋体" w:eastAsia="宋体" w:hAnsi="宋体" w:hint="eastAsia"/>
          <w:noProof/>
          <w:kern w:val="0"/>
          <w:szCs w:val="21"/>
        </w:rPr>
        <w:drawing>
          <wp:inline distB="0" distL="0" distR="0" distT="0">
            <wp:extent cx="3238500" cy="1990492"/>
            <wp:effectExtent b="0" l="19050" r="0" t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368" cy="1994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E971A7" w:rsidR="00E971A7" w:rsidRDefault="00FF1ABF">
      <w:pPr>
        <w:rPr>
          <w:rFonts w:ascii="宋体" w:cs="宋体" w:eastAsia="宋体" w:hAnsi="宋体"/>
          <w:szCs w:val="21"/>
        </w:rPr>
      </w:pPr>
      <w:r w:rsidRPr="00D6585A">
        <w:rPr>
          <w:rFonts w:ascii="宋体" w:eastAsia="宋体" w:hAnsi="宋体" w:hint="eastAsia"/>
          <w:noProof/>
          <w:kern w:val="0"/>
          <w:szCs w:val="21"/>
        </w:rPr>
        <w:drawing>
          <wp:inline distB="0" distL="0" distR="0" distT="0">
            <wp:extent cx="2638425" cy="2053586"/>
            <wp:effectExtent b="0" l="19050" r="9525" t="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579" cy="2056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AF293A" w:rsidR="00AF293A" w:rsidRDefault="00AF293A" w:rsidRPr="00AF293A">
      <w:r w:rsidRPr="00FF37FB">
        <w:rPr>
          <w:rFonts w:hint="eastAsia"/>
        </w:rPr>
        <w:t>注：（</w:t>
      </w:r>
      <w:r w:rsidRPr="00FF37FB">
        <w:t>1</w:t>
      </w:r>
      <w:r w:rsidRPr="00FF37FB">
        <w:rPr>
          <w:rFonts w:hint="eastAsia"/>
        </w:rPr>
        <w:t>）原核细胞中没有真正的细胞核（</w:t>
      </w:r>
      <w:r w:rsidRPr="00FF37FB">
        <w:t>2</w:t>
      </w:r>
      <w:r w:rsidRPr="00FF37FB">
        <w:rPr>
          <w:rFonts w:hint="eastAsia"/>
        </w:rPr>
        <w:t>）有的真核细胞中也没有细胞核，如哺乳动物的成熟的红细胞，高等植物成熟的筛管细胞等极少数的细胞。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FF37FB">
        <w:rPr>
          <w:rFonts w:hint="eastAsia"/>
        </w:rPr>
        <w:t>有的没有：人体内成熟的红细胞；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FF37FB">
        <w:rPr>
          <w:rFonts w:hint="eastAsia"/>
        </w:rPr>
        <w:t>有的多个：植物个体发育过程中的多数胚乳核；人的骨胳肌细胞中的细胞核可达数百个</w:t>
      </w:r>
    </w:p>
    <w:p w:rsidP="00E971A7" w:rsidR="00AF293A" w:rsidRDefault="00AF293A" w:rsidRPr="00AF293A">
      <w:pPr>
        <w:rPr>
          <w:rFonts w:ascii="宋体" w:cs="宋体" w:eastAsia="宋体" w:hAnsi="宋体"/>
          <w:szCs w:val="21"/>
        </w:rPr>
      </w:pPr>
    </w:p>
    <w:p w:rsidP="00E971A7" w:rsidR="00E971A7" w:rsidRDefault="00E971A7" w:rsidRPr="00FF1ABF">
      <w:pPr>
        <w:rPr>
          <w:rFonts w:ascii="宋体" w:cs="宋体" w:eastAsia="宋体" w:hAnsi="宋体"/>
          <w:szCs w:val="21"/>
        </w:rPr>
      </w:pPr>
      <w:r>
        <w:rPr>
          <w:rFonts w:ascii="宋体" w:cs="宋体" w:eastAsia="宋体" w:hAnsi="宋体" w:hint="eastAsia"/>
          <w:szCs w:val="21"/>
        </w:rPr>
        <w:t>【二】细胞器</w:t>
      </w:r>
    </w:p>
    <w:p w:rsidP="00D6585A" w:rsidR="00FF37FB" w:rsidRDefault="00FF1ABF" w:rsidRPr="00E971A7">
      <w:pPr>
        <w:rPr>
          <w:rFonts w:ascii="宋体" w:eastAsia="宋体" w:hAnsi="宋体"/>
          <w:szCs w:val="21"/>
        </w:rPr>
      </w:pPr>
      <w:r>
        <w:rPr>
          <w:rFonts w:ascii="宋体" w:cs="宋体" w:eastAsia="宋体" w:hAnsi="宋体" w:hint="eastAsia"/>
          <w:bCs/>
          <w:szCs w:val="21"/>
        </w:rPr>
        <w:t>1、</w:t>
      </w:r>
      <w:r w:rsidR="00FF37FB" w:rsidRPr="00E971A7">
        <w:rPr>
          <w:rFonts w:ascii="宋体" w:cs="宋体" w:eastAsia="宋体" w:hAnsi="宋体" w:hint="eastAsia"/>
          <w:bCs/>
          <w:szCs w:val="21"/>
        </w:rPr>
        <w:t>原生质层</w:t>
      </w:r>
    </w:p>
    <w:p w:rsidP="00D6585A" w:rsidR="00FF37FB" w:rsidRDefault="00FF37FB" w:rsidRPr="00D6585A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◎由植物细胞的细胞膜、液泡膜和两层膜之间的细胞质构成，成熟的植物细胞液泡占据胞内绝大多数体积，原生质层成为一薄层。</w:t>
      </w:r>
    </w:p>
    <w:p w:rsidP="00D6585A" w:rsidR="002411C9" w:rsidRDefault="00FF37FB" w:rsidRPr="00184DE0">
      <w:pPr>
        <w:rPr>
          <w:rFonts w:ascii="宋体" w:cs="宋体" w:eastAsia="宋体" w:hAnsi="宋体"/>
          <w:szCs w:val="21"/>
        </w:rPr>
      </w:pPr>
      <w:r w:rsidRPr="00D6585A">
        <w:rPr>
          <w:rFonts w:ascii="宋体" w:cs="宋体" w:eastAsia="宋体" w:hAnsi="宋体" w:hint="eastAsia"/>
          <w:szCs w:val="21"/>
        </w:rPr>
        <w:t>◎由于液泡膜、细胞质、细胞膜都是选择透过性的，所以通常将原生质层看成一层半透膜来研究渗透作用。</w:t>
      </w:r>
    </w:p>
    <w:p w:rsidP="00D6585A" w:rsidR="002411C9" w:rsidRDefault="00FF1ABF" w:rsidRPr="00D6585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2、细胞器</w:t>
      </w:r>
    </w:p>
    <w:p w:rsidP="00D6585A" w:rsidR="00FF1ABF" w:rsidRDefault="002411C9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 w:hint="eastAsia"/>
          <w:szCs w:val="21"/>
        </w:rPr>
        <w:t>细胞质中具有一定形态结构和执行一定生理功能的结构单位，它们悬浮在细胞基质中，主要有线粒体、叶绿体、内质网、高尔基体、核糖体、溶酶体等，它们统称为细胞器。</w:t>
      </w:r>
    </w:p>
    <w:tbl>
      <w:tblPr>
        <w:tblStyle w:val="a5"/>
        <w:tblW w:type="auto" w:w="0"/>
        <w:tblBorders>
          <w:top w:color="76923C" w:space="0" w:sz="12" w:themeColor="accent3" w:themeShade="BF" w:val="single"/>
          <w:left w:color="76923C" w:space="0" w:sz="12" w:themeColor="accent3" w:themeShade="BF" w:val="single"/>
          <w:bottom w:color="76923C" w:space="0" w:sz="12" w:themeColor="accent3" w:themeShade="BF" w:val="single"/>
          <w:right w:color="76923C" w:space="0" w:sz="12" w:themeColor="accent3" w:themeShade="BF" w:val="single"/>
          <w:insideH w:color="76923C" w:space="0" w:sz="8" w:themeColor="accent3" w:themeShade="BF" w:val="single"/>
          <w:insideV w:color="76923C" w:space="0" w:sz="8" w:themeColor="accent3" w:themeShade="BF" w:val="single"/>
        </w:tblBorders>
        <w:tblLook w:val="04A0"/>
      </w:tblPr>
      <w:tblGrid>
        <w:gridCol w:w="1041"/>
        <w:gridCol w:w="1155"/>
        <w:gridCol w:w="2269"/>
        <w:gridCol w:w="2889"/>
        <w:gridCol w:w="3066"/>
      </w:tblGrid>
      <w:tr w:rsidR="00DA4DB5" w:rsidRPr="00184DE0" w:rsidTr="00184DE0">
        <w:tc>
          <w:tcPr>
            <w:tcW w:type="dxa" w:w="1041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</w:tcPr>
          <w:p w:rsidP="00D6585A" w:rsidR="00DA4DB5" w:rsidRDefault="00DA4DB5" w:rsidRPr="00184DE0">
            <w:pPr>
              <w:rPr>
                <w:rFonts w:ascii="宋体" w:eastAsia="宋体" w:hAnsi="宋体"/>
                <w:b/>
                <w:color w:themeColor="accent3" w:themeShade="BF" w:val="76923C"/>
                <w:szCs w:val="21"/>
              </w:rPr>
            </w:pPr>
            <w:r w:rsidRPr="00184DE0">
              <w:rPr>
                <w:rFonts w:ascii="宋体" w:eastAsia="宋体" w:hAnsi="宋体" w:hint="eastAsia"/>
                <w:b/>
                <w:color w:themeColor="accent3" w:themeShade="BF" w:val="76923C"/>
                <w:szCs w:val="21"/>
              </w:rPr>
              <w:lastRenderedPageBreak/>
              <w:t>动/植物细胞含有</w:t>
            </w:r>
          </w:p>
        </w:tc>
        <w:tc>
          <w:tcPr>
            <w:tcW w:type="dxa" w:w="1155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</w:tcPr>
          <w:p w:rsidP="00D6585A" w:rsidR="00DA4DB5" w:rsidRDefault="00DA4DB5" w:rsidRPr="00184DE0">
            <w:pPr>
              <w:rPr>
                <w:rFonts w:ascii="宋体" w:eastAsia="宋体" w:hAnsi="宋体"/>
                <w:b/>
                <w:color w:themeColor="accent3" w:themeShade="BF" w:val="76923C"/>
                <w:szCs w:val="21"/>
              </w:rPr>
            </w:pPr>
            <w:r w:rsidRPr="00184DE0">
              <w:rPr>
                <w:rFonts w:ascii="宋体" w:eastAsia="宋体" w:hAnsi="宋体" w:hint="eastAsia"/>
                <w:b/>
                <w:color w:themeColor="accent3" w:themeShade="BF" w:val="76923C"/>
                <w:szCs w:val="21"/>
              </w:rPr>
              <w:t>细胞器</w:t>
            </w:r>
          </w:p>
        </w:tc>
        <w:tc>
          <w:tcPr>
            <w:tcW w:type="dxa" w:w="2269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</w:tcPr>
          <w:p w:rsidP="00D6585A" w:rsidR="00DA4DB5" w:rsidRDefault="00DA4DB5" w:rsidRPr="00184DE0">
            <w:pPr>
              <w:rPr>
                <w:rFonts w:ascii="宋体" w:eastAsia="宋体" w:hAnsi="宋体"/>
                <w:b/>
                <w:color w:themeColor="accent3" w:themeShade="BF" w:val="76923C"/>
                <w:szCs w:val="21"/>
              </w:rPr>
            </w:pPr>
            <w:r w:rsidRPr="00184DE0">
              <w:rPr>
                <w:rFonts w:ascii="宋体" w:eastAsia="宋体" w:hAnsi="宋体" w:hint="eastAsia"/>
                <w:b/>
                <w:color w:themeColor="accent3" w:themeShade="BF" w:val="76923C"/>
                <w:szCs w:val="21"/>
              </w:rPr>
              <w:t>形态结构</w:t>
            </w:r>
          </w:p>
        </w:tc>
        <w:tc>
          <w:tcPr>
            <w:tcW w:type="dxa" w:w="2889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</w:tcPr>
          <w:p w:rsidP="00D6585A" w:rsidR="00DA4DB5" w:rsidRDefault="00DA4DB5" w:rsidRPr="00184DE0">
            <w:pPr>
              <w:rPr>
                <w:rFonts w:ascii="宋体" w:eastAsia="宋体" w:hAnsi="宋体"/>
                <w:b/>
                <w:color w:themeColor="accent3" w:themeShade="BF" w:val="76923C"/>
                <w:szCs w:val="21"/>
              </w:rPr>
            </w:pPr>
            <w:r w:rsidRPr="00184DE0">
              <w:rPr>
                <w:rFonts w:ascii="宋体" w:eastAsia="宋体" w:hAnsi="宋体" w:hint="eastAsia"/>
                <w:b/>
                <w:color w:themeColor="accent3" w:themeShade="BF" w:val="76923C"/>
                <w:szCs w:val="21"/>
              </w:rPr>
              <w:t>功能</w:t>
            </w:r>
          </w:p>
        </w:tc>
        <w:tc>
          <w:tcPr>
            <w:tcW w:type="dxa" w:w="3066"/>
            <w:tcBorders>
              <w:top w:color="76923C" w:space="0" w:sz="12" w:themeColor="accent3" w:themeShade="BF" w:val="single"/>
              <w:bottom w:color="76923C" w:space="0" w:sz="8" w:themeColor="accent3" w:themeShade="BF" w:val="single"/>
            </w:tcBorders>
            <w:shd w:color="auto" w:fill="F2F2F2" w:themeFill="background1" w:themeFillShade="F2" w:val="clear"/>
          </w:tcPr>
          <w:p w:rsidP="00D6585A" w:rsidR="00DA4DB5" w:rsidRDefault="00DA4DB5" w:rsidRPr="00184DE0">
            <w:pPr>
              <w:rPr>
                <w:rFonts w:ascii="宋体" w:eastAsia="宋体" w:hAnsi="宋体"/>
                <w:b/>
                <w:color w:themeColor="accent3" w:themeShade="BF" w:val="76923C"/>
                <w:szCs w:val="21"/>
              </w:rPr>
            </w:pPr>
            <w:r w:rsidRPr="00184DE0">
              <w:rPr>
                <w:rFonts w:ascii="宋体" w:eastAsia="宋体" w:hAnsi="宋体" w:hint="eastAsia"/>
                <w:b/>
                <w:color w:themeColor="accent3" w:themeShade="BF" w:val="76923C"/>
                <w:szCs w:val="21"/>
              </w:rPr>
              <w:t>示意图</w:t>
            </w:r>
          </w:p>
        </w:tc>
      </w:tr>
      <w:tr w:rsidR="00DA4DB5" w:rsidTr="00184DE0">
        <w:tc>
          <w:tcPr>
            <w:tcW w:type="dxa" w:w="1041"/>
            <w:vMerge w:val="restart"/>
            <w:tcBorders>
              <w:top w:color="76923C" w:space="0" w:sz="8" w:themeColor="accent3" w:themeShade="BF" w:val="single"/>
            </w:tcBorders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动植物细胞共有</w:t>
            </w:r>
          </w:p>
        </w:tc>
        <w:tc>
          <w:tcPr>
            <w:tcW w:type="dxa" w:w="1155"/>
            <w:tcBorders>
              <w:top w:color="76923C" w:space="0" w:sz="8" w:themeColor="accent3" w:themeShade="BF" w:val="single"/>
            </w:tcBorders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核糖体</w:t>
            </w:r>
          </w:p>
        </w:tc>
        <w:tc>
          <w:tcPr>
            <w:tcW w:type="dxa" w:w="2269"/>
            <w:tcBorders>
              <w:top w:color="76923C" w:space="0" w:sz="8" w:themeColor="accent3" w:themeShade="BF" w:val="single"/>
            </w:tcBorders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没有膜结构，主要由核糖体</w:t>
            </w:r>
            <w:r w:rsidRPr="00FF37FB">
              <w:t>RNA</w:t>
            </w:r>
            <w:r w:rsidRPr="00FF37FB">
              <w:rPr>
                <w:rFonts w:hint="eastAsia"/>
              </w:rPr>
              <w:t>和蛋白质组成</w:t>
            </w:r>
          </w:p>
        </w:tc>
        <w:tc>
          <w:tcPr>
            <w:tcW w:type="dxa" w:w="2889"/>
            <w:tcBorders>
              <w:top w:color="76923C" w:space="0" w:sz="8" w:themeColor="accent3" w:themeShade="BF" w:val="single"/>
            </w:tcBorders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合成蛋白质</w:t>
            </w:r>
          </w:p>
        </w:tc>
        <w:tc>
          <w:tcPr>
            <w:tcW w:type="dxa" w:w="3066"/>
            <w:tcBorders>
              <w:top w:color="76923C" w:space="0" w:sz="8" w:themeColor="accent3" w:themeShade="BF" w:val="single"/>
            </w:tcBorders>
          </w:tcPr>
          <w:p w:rsidP="00D6585A" w:rsidR="00DA4DB5" w:rsidRDefault="00AF293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DA4DB5" w:rsidTr="00184DE0">
        <w:tc>
          <w:tcPr>
            <w:tcW w:type="dxa" w:w="1041"/>
            <w:vMerge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type="dxa" w:w="1155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内质网</w:t>
            </w:r>
          </w:p>
        </w:tc>
        <w:tc>
          <w:tcPr>
            <w:tcW w:type="dxa" w:w="226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由单层膜连接而成的网状结构</w:t>
            </w:r>
          </w:p>
        </w:tc>
        <w:tc>
          <w:tcPr>
            <w:tcW w:type="dxa" w:w="288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细胞内蛋白质合成和加工、脂质的车间</w:t>
            </w:r>
          </w:p>
        </w:tc>
        <w:tc>
          <w:tcPr>
            <w:tcW w:type="dxa" w:w="3066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  <w:noProof/>
                <w:kern w:val="0"/>
              </w:rPr>
              <w:drawing>
                <wp:inline distB="0" distL="0" distR="0" distT="0">
                  <wp:extent cx="1057275" cy="1243049"/>
                  <wp:effectExtent b="0" l="19050" r="9525" t="0"/>
                  <wp:docPr id="1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5"/>
                          <a:srcRect b="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43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DB5" w:rsidTr="00184DE0">
        <w:tc>
          <w:tcPr>
            <w:tcW w:type="dxa" w:w="1041"/>
            <w:vMerge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type="dxa" w:w="1155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高尔基体</w:t>
            </w:r>
          </w:p>
        </w:tc>
        <w:tc>
          <w:tcPr>
            <w:tcW w:type="dxa" w:w="226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由单层膜构成</w:t>
            </w:r>
          </w:p>
        </w:tc>
        <w:tc>
          <w:tcPr>
            <w:tcW w:type="dxa" w:w="288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“</w:t>
            </w:r>
            <w:r w:rsidRPr="00FF37FB">
              <w:rPr>
                <w:rFonts w:hint="eastAsia"/>
              </w:rPr>
              <w:t>车间</w:t>
            </w:r>
            <w:r>
              <w:rPr>
                <w:rFonts w:hint="eastAsia"/>
              </w:rPr>
              <w:t>”</w:t>
            </w:r>
            <w:r w:rsidRPr="00FF37FB">
              <w:rPr>
                <w:rFonts w:hint="eastAsia"/>
              </w:rPr>
              <w:t>及</w:t>
            </w:r>
            <w:r>
              <w:rPr>
                <w:rFonts w:hint="eastAsia"/>
              </w:rPr>
              <w:t>“</w:t>
            </w:r>
            <w:r w:rsidRPr="00FF37FB">
              <w:rPr>
                <w:rFonts w:hint="eastAsia"/>
              </w:rPr>
              <w:t>发送站</w:t>
            </w:r>
            <w:r>
              <w:rPr>
                <w:rFonts w:hint="eastAsia"/>
              </w:rPr>
              <w:t>”；</w:t>
            </w:r>
            <w:r w:rsidRPr="00FF37FB">
              <w:rPr>
                <w:rFonts w:hint="eastAsia"/>
              </w:rPr>
              <w:t>对来自内质网的蛋白质进行加工、分类、包装和分泌</w:t>
            </w:r>
          </w:p>
        </w:tc>
        <w:tc>
          <w:tcPr>
            <w:tcW w:type="dxa" w:w="3066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  <w:noProof/>
                <w:kern w:val="0"/>
              </w:rPr>
              <w:drawing>
                <wp:inline distB="0" distL="0" distR="0" distT="0">
                  <wp:extent cx="1219200" cy="1255594"/>
                  <wp:effectExtent b="0" l="19050" r="0" t="0"/>
                  <wp:docPr id="20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55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DB5" w:rsidTr="00184DE0">
        <w:tc>
          <w:tcPr>
            <w:tcW w:type="dxa" w:w="1041"/>
            <w:vMerge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type="dxa" w:w="1155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线粒体</w:t>
            </w:r>
          </w:p>
        </w:tc>
        <w:tc>
          <w:tcPr>
            <w:tcW w:type="dxa" w:w="226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D6585A">
              <w:rPr>
                <w:rFonts w:ascii="宋体" w:eastAsia="宋体" w:hAnsi="宋体" w:hint="eastAsia"/>
                <w:szCs w:val="21"/>
              </w:rPr>
              <w:t>由双层膜构成</w:t>
            </w:r>
          </w:p>
        </w:tc>
        <w:tc>
          <w:tcPr>
            <w:tcW w:type="dxa" w:w="288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D6585A">
              <w:rPr>
                <w:rFonts w:ascii="宋体" w:eastAsia="宋体" w:hAnsi="宋体" w:hint="eastAsia"/>
                <w:szCs w:val="21"/>
              </w:rPr>
              <w:t>进行有氧呼吸的主要场所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 w:rsidRPr="00D6585A">
              <w:rPr>
                <w:rFonts w:ascii="宋体" w:eastAsia="宋体" w:hAnsi="宋体"/>
                <w:szCs w:val="21"/>
              </w:rPr>
              <w:t>“</w:t>
            </w:r>
            <w:r w:rsidRPr="00D6585A">
              <w:rPr>
                <w:rFonts w:ascii="宋体" w:eastAsia="宋体" w:hAnsi="宋体" w:hint="eastAsia"/>
                <w:szCs w:val="21"/>
              </w:rPr>
              <w:t>动力车间</w:t>
            </w:r>
            <w:r w:rsidRPr="00D6585A">
              <w:rPr>
                <w:rFonts w:ascii="宋体" w:eastAsia="宋体" w:hAnsi="宋体"/>
                <w:szCs w:val="21"/>
              </w:rPr>
              <w:t>”</w:t>
            </w:r>
            <w:r>
              <w:rPr>
                <w:rFonts w:ascii="宋体" w:eastAsia="宋体" w:hAnsi="宋体" w:hint="eastAsia"/>
                <w:szCs w:val="21"/>
              </w:rPr>
              <w:t>）；</w:t>
            </w:r>
            <w:r w:rsidRPr="00D6585A">
              <w:rPr>
                <w:rFonts w:ascii="宋体" w:eastAsia="宋体" w:hAnsi="宋体" w:hint="eastAsia"/>
                <w:szCs w:val="21"/>
              </w:rPr>
              <w:t>细胞生命活动能够所需的能量，大约</w:t>
            </w:r>
            <w:r w:rsidRPr="00D6585A">
              <w:rPr>
                <w:rFonts w:ascii="宋体" w:eastAsia="宋体" w:hAnsi="宋体"/>
                <w:szCs w:val="21"/>
              </w:rPr>
              <w:t>95%</w:t>
            </w:r>
            <w:r w:rsidRPr="00D6585A">
              <w:rPr>
                <w:rFonts w:ascii="宋体" w:eastAsia="宋体" w:hAnsi="宋体" w:hint="eastAsia"/>
                <w:szCs w:val="21"/>
              </w:rPr>
              <w:t>来自线粒体</w:t>
            </w:r>
          </w:p>
        </w:tc>
        <w:tc>
          <w:tcPr>
            <w:tcW w:type="dxa" w:w="3066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D6585A">
              <w:rPr>
                <w:rFonts w:ascii="宋体" w:eastAsia="宋体" w:hAnsi="宋体" w:hint="eastAsia"/>
                <w:noProof/>
                <w:kern w:val="0"/>
                <w:szCs w:val="21"/>
              </w:rPr>
              <w:drawing>
                <wp:inline distB="0" distL="0" distR="0" distT="0">
                  <wp:extent cx="1562100" cy="1023445"/>
                  <wp:effectExtent b="0" l="19050" r="0" t="0"/>
                  <wp:docPr id="17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023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DB5" w:rsidTr="00184DE0">
        <w:tc>
          <w:tcPr>
            <w:tcW w:type="dxa" w:w="1041"/>
            <w:vMerge w:val="restart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植物特有</w:t>
            </w:r>
          </w:p>
        </w:tc>
        <w:tc>
          <w:tcPr>
            <w:tcW w:type="dxa" w:w="1155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叶绿体</w:t>
            </w:r>
          </w:p>
        </w:tc>
        <w:tc>
          <w:tcPr>
            <w:tcW w:type="dxa" w:w="226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由双层膜构成，分成外膜和内膜。叶绿体中有环状的</w:t>
            </w:r>
            <w:r w:rsidRPr="00FF37FB">
              <w:t>DNA</w:t>
            </w:r>
            <w:r w:rsidRPr="00FF37FB">
              <w:rPr>
                <w:rFonts w:hint="eastAsia"/>
              </w:rPr>
              <w:t>和核糖体，能合成某些蛋白质。</w:t>
            </w:r>
          </w:p>
        </w:tc>
        <w:tc>
          <w:tcPr>
            <w:tcW w:type="dxa" w:w="288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绿色植物能进行光合作用的</w:t>
            </w:r>
            <w:r>
              <w:rPr>
                <w:rFonts w:hint="eastAsia"/>
              </w:rPr>
              <w:t>场所（“</w:t>
            </w:r>
            <w:r w:rsidRPr="00FF37FB">
              <w:rPr>
                <w:rFonts w:hint="eastAsia"/>
              </w:rPr>
              <w:t>养料制造车间</w:t>
            </w:r>
            <w:r>
              <w:rPr>
                <w:rFonts w:hint="eastAsia"/>
              </w:rPr>
              <w:t>”</w:t>
            </w:r>
            <w:r w:rsidRPr="00FF37FB">
              <w:rPr>
                <w:rFonts w:hint="eastAsia"/>
              </w:rPr>
              <w:t>和</w:t>
            </w:r>
            <w:r>
              <w:rPr>
                <w:rFonts w:hint="eastAsia"/>
              </w:rPr>
              <w:t>“</w:t>
            </w:r>
            <w:r w:rsidRPr="00FF37FB">
              <w:rPr>
                <w:rFonts w:hint="eastAsia"/>
              </w:rPr>
              <w:t>能量转换站</w:t>
            </w:r>
            <w:r>
              <w:rPr>
                <w:rFonts w:hint="eastAsia"/>
              </w:rPr>
              <w:t>”）</w:t>
            </w:r>
          </w:p>
        </w:tc>
        <w:tc>
          <w:tcPr>
            <w:tcW w:type="dxa" w:w="3066"/>
          </w:tcPr>
          <w:p w:rsidP="00D6585A" w:rsidR="00DA4DB5" w:rsidRDefault="00AF293A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  <w:noProof/>
                <w:kern w:val="0"/>
              </w:rPr>
              <w:t>/</w:t>
            </w:r>
          </w:p>
        </w:tc>
      </w:tr>
      <w:tr w:rsidR="00DA4DB5" w:rsidTr="00184DE0">
        <w:tc>
          <w:tcPr>
            <w:tcW w:type="dxa" w:w="1041"/>
            <w:vMerge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type="dxa" w:w="1155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液泡</w:t>
            </w:r>
          </w:p>
        </w:tc>
        <w:tc>
          <w:tcPr>
            <w:tcW w:type="dxa" w:w="226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由单层膜构成</w:t>
            </w:r>
            <w:r>
              <w:rPr>
                <w:rFonts w:hint="eastAsia"/>
              </w:rPr>
              <w:t>，</w:t>
            </w:r>
            <w:r w:rsidRPr="00FF37FB">
              <w:rPr>
                <w:rFonts w:hint="eastAsia"/>
              </w:rPr>
              <w:t>内有细胞液，其中含有糖类、无机盐、色素和蛋白质等物质</w:t>
            </w:r>
          </w:p>
        </w:tc>
        <w:tc>
          <w:tcPr>
            <w:tcW w:type="dxa" w:w="2889"/>
          </w:tcPr>
          <w:p w:rsidP="00D6585A" w:rsidR="00DA4DB5" w:rsidRDefault="00AF293A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调节植物细胞内的环境</w:t>
            </w:r>
            <w:r>
              <w:rPr>
                <w:rFonts w:hint="eastAsia"/>
              </w:rPr>
              <w:t>，</w:t>
            </w:r>
            <w:r w:rsidRPr="00FF37FB">
              <w:rPr>
                <w:rFonts w:hint="eastAsia"/>
              </w:rPr>
              <w:t>充盈的液泡还可以使植物细胞保持坚挺</w:t>
            </w:r>
          </w:p>
        </w:tc>
        <w:tc>
          <w:tcPr>
            <w:tcW w:type="dxa" w:w="3066"/>
          </w:tcPr>
          <w:p w:rsidP="00D6585A" w:rsidR="00DA4DB5" w:rsidRDefault="00AF293A" w:rsidRPr="00AF293A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  <w:noProof/>
                <w:kern w:val="0"/>
              </w:rPr>
              <w:drawing>
                <wp:inline distB="0" distL="0" distR="0" distT="0">
                  <wp:extent cx="1466850" cy="1223864"/>
                  <wp:effectExtent b="0" l="19050" r="0" t="0"/>
                  <wp:docPr id="22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8"/>
                          <a:srcRect b="1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279" cy="122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4DB5" w:rsidTr="00184DE0">
        <w:tc>
          <w:tcPr>
            <w:tcW w:type="dxa" w:w="1041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动物特有</w:t>
            </w:r>
          </w:p>
        </w:tc>
        <w:tc>
          <w:tcPr>
            <w:tcW w:type="dxa" w:w="1155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溶酶体</w:t>
            </w:r>
          </w:p>
        </w:tc>
        <w:tc>
          <w:tcPr>
            <w:tcW w:type="dxa" w:w="226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由单层膜构成</w:t>
            </w:r>
          </w:p>
        </w:tc>
        <w:tc>
          <w:tcPr>
            <w:tcW w:type="dxa" w:w="2889"/>
          </w:tcPr>
          <w:p w:rsidP="00DA4DB5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“</w:t>
            </w:r>
            <w:r w:rsidRPr="00FF37FB">
              <w:rPr>
                <w:rFonts w:hint="eastAsia"/>
              </w:rPr>
              <w:t>消化车间</w:t>
            </w:r>
            <w:r>
              <w:rPr>
                <w:rFonts w:hint="eastAsia"/>
              </w:rPr>
              <w:t>”</w:t>
            </w:r>
            <w:r w:rsidRPr="00FF37FB">
              <w:rPr>
                <w:rFonts w:hint="eastAsia"/>
              </w:rPr>
              <w:t>，</w:t>
            </w:r>
            <w:r>
              <w:rPr>
                <w:rFonts w:hint="eastAsia"/>
              </w:rPr>
              <w:t>消化异物和细胞碎片</w:t>
            </w:r>
          </w:p>
        </w:tc>
        <w:tc>
          <w:tcPr>
            <w:tcW w:type="dxa" w:w="3066"/>
          </w:tcPr>
          <w:p w:rsidP="00D6585A" w:rsidR="00DA4DB5" w:rsidRDefault="00AF293A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DA4DB5" w:rsidTr="00184DE0">
        <w:tc>
          <w:tcPr>
            <w:tcW w:type="dxa" w:w="1041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动物特有、低等植物也有</w:t>
            </w:r>
          </w:p>
        </w:tc>
        <w:tc>
          <w:tcPr>
            <w:tcW w:type="dxa" w:w="1155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中心体</w:t>
            </w:r>
          </w:p>
        </w:tc>
        <w:tc>
          <w:tcPr>
            <w:tcW w:type="dxa" w:w="2269"/>
          </w:tcPr>
          <w:p w:rsidP="00D6585A" w:rsidR="00DA4DB5" w:rsidRDefault="00AF293A">
            <w:pPr>
              <w:rPr>
                <w:rFonts w:ascii="宋体" w:eastAsia="宋体" w:hAnsi="宋体"/>
                <w:szCs w:val="21"/>
              </w:rPr>
            </w:pPr>
            <w:r w:rsidRPr="00FF37FB">
              <w:rPr>
                <w:rFonts w:hint="eastAsia"/>
              </w:rPr>
              <w:t>没有膜结构</w:t>
            </w:r>
            <w:r>
              <w:rPr>
                <w:rFonts w:hint="eastAsia"/>
              </w:rPr>
              <w:t>，由</w:t>
            </w:r>
            <w:r w:rsidRPr="00FF37FB">
              <w:rPr>
                <w:rFonts w:hint="eastAsia"/>
              </w:rPr>
              <w:t>两个互相垂直排列的中心粒及周围物质组成</w:t>
            </w:r>
          </w:p>
        </w:tc>
        <w:tc>
          <w:tcPr>
            <w:tcW w:type="dxa" w:w="2889"/>
          </w:tcPr>
          <w:p w:rsidP="00D6585A" w:rsidR="00DA4DB5" w:rsidRDefault="00DA4DB5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type="dxa" w:w="3066"/>
          </w:tcPr>
          <w:p w:rsidP="00D6585A" w:rsidR="00DA4DB5" w:rsidRDefault="00AF293A">
            <w:pPr>
              <w:rPr>
                <w:rFonts w:ascii="宋体" w:eastAsia="宋体" w:hAnsi="宋体"/>
                <w:szCs w:val="21"/>
              </w:rPr>
            </w:pPr>
            <w:r w:rsidRPr="00AF293A">
              <w:rPr>
                <w:rFonts w:ascii="宋体" w:eastAsia="宋体" w:hAnsi="宋体" w:hint="eastAsia"/>
                <w:noProof/>
                <w:szCs w:val="21"/>
              </w:rPr>
              <w:drawing>
                <wp:inline distB="0" distL="0" distR="0" distT="0">
                  <wp:extent cx="1152525" cy="1352008"/>
                  <wp:effectExtent b="0" l="19050" r="9525" t="0"/>
                  <wp:docPr id="23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9"/>
                          <a:srcRect r="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352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D6585A" w:rsidR="002411C9" w:rsidRDefault="002411C9" w:rsidRPr="00D6585A">
      <w:pPr>
        <w:rPr>
          <w:rFonts w:ascii="宋体" w:eastAsia="宋体" w:hAnsi="宋体"/>
          <w:szCs w:val="21"/>
        </w:rPr>
      </w:pPr>
    </w:p>
    <w:p w:rsidP="00D6585A" w:rsidR="002411C9" w:rsidRDefault="002411C9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 w:hint="eastAsia"/>
          <w:szCs w:val="21"/>
        </w:rPr>
        <w:t>思考：</w:t>
      </w:r>
    </w:p>
    <w:p w:rsidP="00D6585A" w:rsidR="002411C9" w:rsidRDefault="002411C9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/>
          <w:szCs w:val="21"/>
        </w:rPr>
        <w:t>1.</w:t>
      </w:r>
      <w:r w:rsidRPr="00D6585A">
        <w:rPr>
          <w:rFonts w:ascii="宋体" w:eastAsia="宋体" w:hAnsi="宋体" w:hint="eastAsia"/>
          <w:szCs w:val="21"/>
        </w:rPr>
        <w:t>真核生物都有线粒体吗？</w:t>
      </w:r>
    </w:p>
    <w:p w:rsidP="00D6585A" w:rsidR="002411C9" w:rsidRDefault="002411C9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 w:hint="eastAsia"/>
          <w:szCs w:val="21"/>
        </w:rPr>
        <w:t>不是。例蛔虫没有线粒体，只进行无氧呼吸。</w:t>
      </w:r>
    </w:p>
    <w:p w:rsidP="00D6585A" w:rsidR="002411C9" w:rsidRDefault="002411C9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/>
          <w:szCs w:val="21"/>
        </w:rPr>
        <w:t>2.</w:t>
      </w:r>
      <w:r w:rsidRPr="00D6585A">
        <w:rPr>
          <w:rFonts w:ascii="宋体" w:eastAsia="宋体" w:hAnsi="宋体" w:hint="eastAsia"/>
          <w:szCs w:val="21"/>
        </w:rPr>
        <w:t>只有线粒体才能进行有氧呼吸吗？</w:t>
      </w:r>
    </w:p>
    <w:p w:rsidP="00D6585A" w:rsidR="002411C9" w:rsidRDefault="002411C9" w:rsidRPr="00D6585A">
      <w:pPr>
        <w:rPr>
          <w:rFonts w:ascii="宋体" w:eastAsia="宋体" w:hAnsi="宋体"/>
          <w:szCs w:val="21"/>
        </w:rPr>
      </w:pPr>
      <w:r w:rsidRPr="00D6585A">
        <w:rPr>
          <w:rFonts w:ascii="宋体" w:eastAsia="宋体" w:hAnsi="宋体" w:hint="eastAsia"/>
          <w:szCs w:val="21"/>
        </w:rPr>
        <w:t>不是。需氧型的细菌等也能进行有氧呼吸，发生在细胞膜内表面上。</w:t>
      </w:r>
    </w:p>
    <w:p w:rsidP="00FF37FB" w:rsidR="002411C9" w:rsidRDefault="002411C9" w:rsidRPr="00FF37FB"/>
    <w:p w:rsidP="00FF37FB" w:rsidR="002411C9" w:rsidRDefault="002411C9" w:rsidRPr="00FF37FB">
      <w:r w:rsidRPr="00FF37FB">
        <w:rPr>
          <w:rFonts w:hint="eastAsia"/>
        </w:rPr>
        <w:t>思考：</w:t>
      </w:r>
    </w:p>
    <w:p w:rsidP="00FF37FB" w:rsidR="002411C9" w:rsidRDefault="002411C9" w:rsidRPr="00FF37FB">
      <w:r w:rsidRPr="00FF37FB">
        <w:t>1.</w:t>
      </w:r>
      <w:r w:rsidRPr="00FF37FB">
        <w:rPr>
          <w:rFonts w:hint="eastAsia"/>
        </w:rPr>
        <w:t>只有叶绿体才可以进行光合作用吗？</w:t>
      </w:r>
    </w:p>
    <w:p w:rsidP="00FF37FB" w:rsidR="002411C9" w:rsidRDefault="002411C9" w:rsidRPr="00FF37FB">
      <w:r w:rsidRPr="00FF37FB">
        <w:rPr>
          <w:rFonts w:hint="eastAsia"/>
        </w:rPr>
        <w:t>不是。蓝藻等含有光合色素也能进行光合作用。</w:t>
      </w:r>
    </w:p>
    <w:p w:rsidP="00FF37FB" w:rsidR="002411C9" w:rsidRDefault="002411C9" w:rsidRPr="00FF37FB">
      <w:r w:rsidRPr="00FF37FB">
        <w:t>2.</w:t>
      </w:r>
      <w:r w:rsidRPr="00FF37FB">
        <w:rPr>
          <w:rFonts w:hint="eastAsia"/>
        </w:rPr>
        <w:t>绿色植物细胞都有叶绿体吗？</w:t>
      </w:r>
    </w:p>
    <w:p w:rsidP="00FF37FB" w:rsidR="002411C9" w:rsidRDefault="002411C9">
      <w:r w:rsidRPr="00FF37FB">
        <w:rPr>
          <w:rFonts w:hint="eastAsia"/>
        </w:rPr>
        <w:t>不是。植物的根尖细胞等就没有叶绿体。</w:t>
      </w:r>
    </w:p>
    <w:p w:rsidP="00FF37FB" w:rsidR="00AF293A" w:rsidRDefault="00AF293A"/>
    <w:p w:rsidP="00FF37FB" w:rsidR="002411C9" w:rsidRDefault="00AF293A" w:rsidRPr="00FF37FB">
      <w:r>
        <w:rPr>
          <w:rFonts w:hint="eastAsia"/>
        </w:rPr>
        <w:t>3</w:t>
      </w:r>
      <w:r>
        <w:rPr>
          <w:rFonts w:hint="eastAsia"/>
        </w:rPr>
        <w:t>、植物细胞和动物细胞</w:t>
      </w:r>
    </w:p>
    <w:p w:rsidP="00FF37FB" w:rsidR="002411C9" w:rsidRDefault="002411C9">
      <w:r w:rsidRPr="00FF37FB">
        <w:rPr>
          <w:rFonts w:hint="eastAsia"/>
          <w:noProof/>
          <w:kern w:val="0"/>
        </w:rPr>
        <w:drawing>
          <wp:inline distB="0" distL="0" distR="0" distT="0">
            <wp:extent cx="3781425" cy="2568903"/>
            <wp:effectExtent b="0" l="19050" r="9525" t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56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93A">
        <w:rPr>
          <w:rFonts w:hint="eastAsia"/>
        </w:rPr>
        <w:t>（植物细胞）</w:t>
      </w:r>
    </w:p>
    <w:p w:rsidP="00FF37FB" w:rsidR="00AF293A" w:rsidRDefault="00AF293A" w:rsidRPr="00FF37FB"/>
    <w:p w:rsidP="00FF37FB" w:rsidR="00FF37FB" w:rsidRDefault="002411C9" w:rsidRPr="00FF37FB">
      <w:r w:rsidRPr="00FF37FB">
        <w:rPr>
          <w:rFonts w:hint="eastAsia"/>
          <w:noProof/>
          <w:kern w:val="0"/>
        </w:rPr>
        <w:drawing>
          <wp:inline distB="0" distL="0" distR="0" distT="0">
            <wp:extent cx="3848100" cy="2360540"/>
            <wp:effectExtent b="0" l="19050" r="0" t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36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93A">
        <w:rPr>
          <w:rFonts w:hint="eastAsia"/>
        </w:rPr>
        <w:t>（动物细胞）</w:t>
      </w:r>
    </w:p>
    <w:sectPr w:rsidR="00FF37FB" w:rsidRPr="00FF37FB" w:rsidSect="00D558C9">
      <w:footerReference r:id="rId22" w:type="default"/>
      <w:pgSz w:h="16838" w:w="11906"/>
      <w:pgMar w:bottom="720" w:footer="992" w:gutter="0" w:header="851" w:left="851" w:right="851" w:top="720"/>
      <w:cols w:space="425"/>
      <w:docGrid w:linePitch="312" w:type="lines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794" w:rsidRDefault="00B41794" w:rsidP="00184DE0">
      <w:r>
        <w:separator/>
      </w:r>
    </w:p>
  </w:endnote>
  <w:endnote w:type="continuationSeparator" w:id="1">
    <w:p w:rsidR="00B41794" w:rsidRDefault="00B41794" w:rsidP="0018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2572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184DE0" w:rsidRDefault="00184DE0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7B2E7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B2E77">
              <w:rPr>
                <w:b/>
                <w:sz w:val="24"/>
                <w:szCs w:val="24"/>
              </w:rPr>
              <w:fldChar w:fldCharType="separate"/>
            </w:r>
            <w:r w:rsidR="00A37FF7">
              <w:rPr>
                <w:b/>
                <w:noProof/>
              </w:rPr>
              <w:t>5</w:t>
            </w:r>
            <w:r w:rsidR="007B2E7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B2E7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B2E77">
              <w:rPr>
                <w:b/>
                <w:sz w:val="24"/>
                <w:szCs w:val="24"/>
              </w:rPr>
              <w:fldChar w:fldCharType="separate"/>
            </w:r>
            <w:r w:rsidR="00A37FF7">
              <w:rPr>
                <w:b/>
                <w:noProof/>
              </w:rPr>
              <w:t>5</w:t>
            </w:r>
            <w:r w:rsidR="007B2E7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84DE0" w:rsidRDefault="00184DE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794" w:rsidRDefault="00B41794" w:rsidP="00184DE0">
      <w:r>
        <w:separator/>
      </w:r>
    </w:p>
  </w:footnote>
  <w:footnote w:type="continuationSeparator" w:id="1">
    <w:p w:rsidR="00B41794" w:rsidRDefault="00B41794" w:rsidP="00184D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E2872"/>
    <w:multiLevelType w:val="hybridMultilevel"/>
    <w:tmpl w:val="FA16B10C"/>
    <w:lvl w:ilvl="0" w:tplc="0A2A2CF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A56DEA"/>
    <w:multiLevelType w:val="multilevel"/>
    <w:tmpl w:val="01D6C2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11C9"/>
    <w:rsid w:val="00184DE0"/>
    <w:rsid w:val="002411C9"/>
    <w:rsid w:val="005B4999"/>
    <w:rsid w:val="007B2E77"/>
    <w:rsid w:val="008B6A87"/>
    <w:rsid w:val="00A37FF7"/>
    <w:rsid w:val="00AF293A"/>
    <w:rsid w:val="00B07A20"/>
    <w:rsid w:val="00B41794"/>
    <w:rsid w:val="00D558C9"/>
    <w:rsid w:val="00D6585A"/>
    <w:rsid w:val="00DA4DB5"/>
    <w:rsid w:val="00E971A7"/>
    <w:rsid w:val="00FF1ABF"/>
    <w:rsid w:val="00FF3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E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11C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11C9"/>
    <w:rPr>
      <w:sz w:val="18"/>
      <w:szCs w:val="18"/>
    </w:rPr>
  </w:style>
  <w:style w:type="paragraph" w:styleId="a4">
    <w:name w:val="List Paragraph"/>
    <w:basedOn w:val="a"/>
    <w:uiPriority w:val="34"/>
    <w:qFormat/>
    <w:rsid w:val="00FF37FB"/>
    <w:pPr>
      <w:ind w:firstLineChars="200" w:firstLine="420"/>
    </w:pPr>
  </w:style>
  <w:style w:type="table" w:styleId="a5">
    <w:name w:val="Table Grid"/>
    <w:basedOn w:val="a1"/>
    <w:uiPriority w:val="59"/>
    <w:rsid w:val="00D658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184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184DE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84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84D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<Relationships xmlns="http://schemas.openxmlformats.org/package/2006/relationships"><Relationship Id="rId8" Target="media/image2.jpeg" Type="http://schemas.openxmlformats.org/officeDocument/2006/relationships/image"/><Relationship Id="rId13" Target="media/image7.jpeg" Type="http://schemas.openxmlformats.org/officeDocument/2006/relationships/image"/><Relationship Id="rId18" Target="media/image12.jpeg" Type="http://schemas.openxmlformats.org/officeDocument/2006/relationships/image"/><Relationship Id="rId3" Target="settings.xml" Type="http://schemas.openxmlformats.org/officeDocument/2006/relationships/settings"/><Relationship Id="rId21" Target="media/image15.jpeg" Type="http://schemas.openxmlformats.org/officeDocument/2006/relationships/image"/><Relationship Id="rId7" Target="media/image1.jpeg" Type="http://schemas.openxmlformats.org/officeDocument/2006/relationships/image"/><Relationship Id="rId12" Target="media/image6.png" Type="http://schemas.openxmlformats.org/officeDocument/2006/relationships/image"/><Relationship Id="rId17" Target="media/image11.jpeg" Type="http://schemas.openxmlformats.org/officeDocument/2006/relationships/image"/><Relationship Id="rId2" Target="styles.xml" Type="http://schemas.openxmlformats.org/officeDocument/2006/relationships/styles"/><Relationship Id="rId16" Target="media/image10.jpeg" Type="http://schemas.openxmlformats.org/officeDocument/2006/relationships/image"/><Relationship Id="rId20" Target="media/image14.jpeg" Type="http://schemas.openxmlformats.org/officeDocument/2006/relationships/image"/><Relationship Id="rId1" Target="numbering.xml" Type="http://schemas.openxmlformats.org/officeDocument/2006/relationships/numbering"/><Relationship Id="rId6" Target="endnotes.xml" Type="http://schemas.openxmlformats.org/officeDocument/2006/relationships/endnotes"/><Relationship Id="rId11" Target="media/image5.jpeg" Type="http://schemas.openxmlformats.org/officeDocument/2006/relationships/image"/><Relationship Id="rId24" Target="theme/theme1.xml" Type="http://schemas.openxmlformats.org/officeDocument/2006/relationships/theme"/><Relationship Id="rId5" Target="footnotes.xml" Type="http://schemas.openxmlformats.org/officeDocument/2006/relationships/footnotes"/><Relationship Id="rId15" Target="media/image9.jpeg" Type="http://schemas.openxmlformats.org/officeDocument/2006/relationships/image"/><Relationship Id="rId23" Target="fontTable.xml" Type="http://schemas.openxmlformats.org/officeDocument/2006/relationships/fontTable"/><Relationship Id="rId10" Target="media/image4.jpeg" Type="http://schemas.openxmlformats.org/officeDocument/2006/relationships/image"/><Relationship Id="rId19" Target="media/image13.jpeg" Type="http://schemas.openxmlformats.org/officeDocument/2006/relationships/image"/><Relationship Id="rId4" Target="webSettings.xml" Type="http://schemas.openxmlformats.org/officeDocument/2006/relationships/webSettings"/><Relationship Id="rId9" Target="media/image3.jpeg" Type="http://schemas.openxmlformats.org/officeDocument/2006/relationships/image"/><Relationship Id="rId14" Target="media/image8.jpeg" Type="http://schemas.openxmlformats.org/officeDocument/2006/relationships/image"/><Relationship Id="rId22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2011-10-30T04:41:00Z</cp:lastPrinted>
  <dcterms:created xsi:type="dcterms:W3CDTF">2011-10-30T02:38:00Z</dcterms:created>
  <dcterms:modified xsi:type="dcterms:W3CDTF">2011-10-30T04:43:00Z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375650</vt:lpwstr>
  </property>
  <property fmtid="{D5CDD505-2E9C-101B-9397-08002B2CF9AE}" name="NXPowerLiteVersion" pid="3">
    <vt:lpwstr>D4.1.2</vt:lpwstr>
  </property>
</Properties>
</file>